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jc w:val="center"/>
        <w:rPr/>
      </w:pPr>
      <w:r>
        <w:rPr>
          <w:rFonts w:ascii="Times New Roman" w:hAnsi="Times New Roman"/>
          <w:b/>
          <w:bCs/>
          <w:sz w:val="26"/>
          <w:szCs w:val="26"/>
        </w:rPr>
        <w:t xml:space="preserve">Правила проведения </w:t>
      </w:r>
    </w:p>
    <w:p>
      <w:pPr>
        <w:pStyle w:val="Normal"/>
        <w:spacing w:lineRule="auto" w:line="240" w:before="0" w:after="0"/>
        <w:jc w:val="center"/>
        <w:rPr/>
      </w:pPr>
      <w:r>
        <w:rPr>
          <w:rFonts w:ascii="Times New Roman" w:hAnsi="Times New Roman"/>
          <w:b/>
          <w:bCs/>
          <w:sz w:val="26"/>
          <w:szCs w:val="26"/>
        </w:rPr>
        <w:t xml:space="preserve">скидочной акции </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268" w:leader="none"/>
          <w:tab w:val="left" w:pos="11908" w:leader="none"/>
          <w:tab w:val="left" w:pos="12824" w:leader="none"/>
          <w:tab w:val="left" w:pos="13740" w:leader="none"/>
          <w:tab w:val="left" w:pos="14656" w:leader="none"/>
        </w:tabs>
        <w:snapToGrid w:val="false"/>
        <w:spacing w:lineRule="auto" w:line="240" w:before="0" w:after="0"/>
        <w:ind w:hanging="0"/>
        <w:jc w:val="center"/>
        <w:rPr/>
      </w:pPr>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«Мужское здоровье</w:t>
      </w:r>
      <w:bookmarkStart w:id="0" w:name="__DdeLink__8043_2917332226"/>
      <w:r>
        <w:rPr>
          <w:rFonts w:eastAsia="SimSun" w:cs="Times New Roman" w:ascii="Times New Roman" w:hAnsi="Times New Roman"/>
          <w:b/>
          <w:bCs w:val="false"/>
          <w:i w:val="false"/>
          <w:caps w:val="false"/>
          <w:smallCaps w:val="false"/>
          <w:strike w:val="false"/>
          <w:dstrike w:val="false"/>
          <w:color w:val="000000"/>
          <w:spacing w:val="0"/>
          <w:kern w:val="2"/>
          <w:sz w:val="26"/>
          <w:szCs w:val="26"/>
          <w:u w:val="none"/>
          <w:effect w:val="none"/>
          <w:lang w:val="ru-RU" w:eastAsia="zh-CN" w:bidi="hi-IN"/>
        </w:rPr>
        <w:t>»</w:t>
      </w:r>
      <w:bookmarkEnd w:id="0"/>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 xml:space="preserve">1.  Общие положения  </w:t>
      </w:r>
    </w:p>
    <w:p>
      <w:pPr>
        <w:pStyle w:val="Normal"/>
        <w:spacing w:lineRule="auto" w:line="240" w:before="0" w:after="0"/>
        <w:jc w:val="both"/>
        <w:rPr/>
      </w:pPr>
      <w:r>
        <w:rPr>
          <w:rFonts w:ascii="Times New Roman" w:hAnsi="Times New Roman"/>
          <w:b/>
          <w:bCs/>
          <w:sz w:val="26"/>
          <w:szCs w:val="26"/>
        </w:rPr>
        <w:tab/>
        <w:t xml:space="preserve">Акция </w:t>
      </w:r>
      <w:r>
        <w:rPr>
          <w:rFonts w:eastAsia="Calibri" w:cs="Times New Roman" w:ascii="Times New Roman" w:hAnsi="Times New Roman"/>
          <w:b/>
          <w:bCs/>
          <w:i w:val="false"/>
          <w:caps w:val="false"/>
          <w:smallCaps w:val="false"/>
          <w:strike w:val="false"/>
          <w:dstrike w:val="false"/>
          <w:color w:val="000000"/>
          <w:spacing w:val="0"/>
          <w:kern w:val="0"/>
          <w:sz w:val="26"/>
          <w:szCs w:val="26"/>
          <w:u w:val="none"/>
          <w:effect w:val="none"/>
          <w:lang w:val="ru-RU" w:eastAsia="en-US" w:bidi="ar-SA"/>
        </w:rPr>
        <w:t>«Мужское здоровье»</w:t>
      </w:r>
      <w:r>
        <w:rPr>
          <w:rFonts w:ascii="Times New Roman" w:hAnsi="Times New Roman"/>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2. Сведения об организаторе проведения Акции</w:t>
      </w:r>
    </w:p>
    <w:p>
      <w:pPr>
        <w:pStyle w:val="Normal"/>
        <w:spacing w:lineRule="auto" w:line="240" w:before="0" w:after="0"/>
        <w:jc w:val="both"/>
        <w:rPr/>
      </w:pPr>
      <w:r>
        <w:rPr>
          <w:rFonts w:ascii="Times New Roman" w:hAnsi="Times New Roman"/>
          <w:sz w:val="24"/>
          <w:szCs w:val="24"/>
        </w:rPr>
        <w:tab/>
        <w:t xml:space="preserve">2.1. </w:t>
      </w:r>
      <w:r>
        <w:rPr>
          <w:rFonts w:ascii="Times New Roman" w:hAnsi="Times New Roman"/>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pPr>
      <w:r>
        <w:rPr>
          <w:rFonts w:ascii="Times New Roman" w:hAnsi="Times New Roman"/>
          <w:sz w:val="26"/>
          <w:szCs w:val="26"/>
        </w:rPr>
        <w:tab/>
        <w:t>2.2. Сокращенное наименование: ООО «МЕДФАРМКЛИНИК».</w:t>
      </w:r>
    </w:p>
    <w:p>
      <w:pPr>
        <w:pStyle w:val="Normal"/>
        <w:spacing w:lineRule="auto" w:line="240" w:before="0" w:after="0"/>
        <w:jc w:val="both"/>
        <w:rPr/>
      </w:pPr>
      <w:r>
        <w:rPr>
          <w:rFonts w:ascii="Times New Roman" w:hAnsi="Times New Roman"/>
          <w:sz w:val="26"/>
          <w:szCs w:val="26"/>
        </w:rPr>
        <w:tab/>
        <w:t xml:space="preserve">2.3. Юридический адрес: 350053, г. Краснодар, ул. Баварская, д. 8. </w:t>
      </w:r>
    </w:p>
    <w:p>
      <w:pPr>
        <w:pStyle w:val="Normal"/>
        <w:spacing w:lineRule="auto" w:line="240" w:before="0" w:after="0"/>
        <w:jc w:val="both"/>
        <w:rPr/>
      </w:pPr>
      <w:r>
        <w:rPr>
          <w:rFonts w:ascii="Times New Roman" w:hAnsi="Times New Roman"/>
          <w:sz w:val="26"/>
          <w:szCs w:val="26"/>
        </w:rPr>
        <w:tab/>
        <w:t>2.4. ИНН 2311247780</w:t>
      </w:r>
    </w:p>
    <w:p>
      <w:pPr>
        <w:pStyle w:val="Normal"/>
        <w:spacing w:lineRule="auto" w:line="240" w:before="0" w:after="0"/>
        <w:jc w:val="both"/>
        <w:rPr/>
      </w:pPr>
      <w:r>
        <w:rPr>
          <w:rFonts w:ascii="Times New Roman" w:hAnsi="Times New Roman"/>
          <w:sz w:val="26"/>
          <w:szCs w:val="26"/>
        </w:rPr>
        <w:tab/>
        <w:t xml:space="preserve">2.5. ОГРН 1172375091063. </w:t>
      </w:r>
    </w:p>
    <w:p>
      <w:pPr>
        <w:pStyle w:val="Normal"/>
        <w:spacing w:lineRule="auto" w:line="240" w:before="0" w:after="0"/>
        <w:jc w:val="both"/>
        <w:rPr/>
      </w:pPr>
      <w:r>
        <w:rPr>
          <w:rFonts w:ascii="Times New Roman" w:hAnsi="Times New Roman"/>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2.7. Место предоставления медицинских услуг по акции:</w:t>
      </w:r>
    </w:p>
    <w:p>
      <w:pPr>
        <w:pStyle w:val="Normal"/>
        <w:spacing w:lineRule="auto" w:line="240" w:before="0" w:after="0"/>
        <w:jc w:val="both"/>
        <w:rPr/>
      </w:pPr>
      <w:r>
        <w:rPr>
          <w:rFonts w:ascii="Times New Roman" w:hAnsi="Times New Roman"/>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pPr>
      <w:r>
        <w:rPr>
          <w:rFonts w:ascii="Times New Roman" w:hAnsi="Times New Roman"/>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ab/>
      </w:r>
    </w:p>
    <w:p>
      <w:pPr>
        <w:pStyle w:val="Normal"/>
        <w:spacing w:lineRule="auto" w:line="240" w:before="0" w:after="0"/>
        <w:jc w:val="both"/>
        <w:rPr/>
      </w:pPr>
      <w:r>
        <w:rPr>
          <w:rFonts w:ascii="Times New Roman" w:hAnsi="Times New Roman"/>
          <w:b/>
          <w:bCs/>
          <w:sz w:val="26"/>
          <w:szCs w:val="26"/>
        </w:rPr>
        <w:tab/>
        <w:t>3. Участники Акции</w:t>
      </w:r>
    </w:p>
    <w:p>
      <w:pPr>
        <w:pStyle w:val="Normal"/>
        <w:spacing w:lineRule="auto" w:line="240" w:before="0" w:after="0"/>
        <w:jc w:val="both"/>
        <w:rPr/>
      </w:pPr>
      <w:r>
        <w:rPr>
          <w:rFonts w:ascii="Times New Roman" w:hAnsi="Times New Roman"/>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pPr>
      <w:r>
        <w:rPr>
          <w:rFonts w:ascii="Times New Roman" w:hAnsi="Times New Roman"/>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pPr>
      <w:r>
        <w:rPr>
          <w:rFonts w:ascii="Times New Roman" w:hAnsi="Times New Roman"/>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pPr>
      <w:r>
        <w:rPr>
          <w:rFonts w:ascii="Times New Roman" w:hAnsi="Times New Roman"/>
          <w:b/>
          <w:bCs/>
          <w:sz w:val="26"/>
          <w:szCs w:val="26"/>
        </w:rPr>
        <w:tab/>
      </w:r>
      <w:r>
        <w:rPr>
          <w:rFonts w:ascii="Times New Roman" w:hAnsi="Times New Roman"/>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4. Общие сроки проведения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4.1. Общие сроки проведения Акции: с</w:t>
      </w:r>
      <w:r>
        <w:rPr>
          <w:rFonts w:ascii="Times New Roman" w:hAnsi="Times New Roman"/>
          <w:b/>
          <w:sz w:val="26"/>
          <w:szCs w:val="26"/>
        </w:rPr>
        <w:t xml:space="preserve"> 01.10.2019 по 31.10.19 года.</w:t>
      </w:r>
    </w:p>
    <w:p>
      <w:pPr>
        <w:pStyle w:val="Normal"/>
        <w:spacing w:lineRule="auto" w:line="240" w:before="0" w:after="0"/>
        <w:jc w:val="both"/>
        <w:rPr/>
      </w:pPr>
      <w:r>
        <w:rPr>
          <w:rFonts w:ascii="Times New Roman" w:hAnsi="Times New Roman"/>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pPr>
      <w:r>
        <w:rPr>
          <w:rFonts w:ascii="Times New Roman" w:hAnsi="Times New Roman"/>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sz w:val="26"/>
          <w:szCs w:val="26"/>
        </w:rPr>
      </w:pPr>
      <w:r>
        <w:rPr>
          <w:rFonts w:ascii="Times New Roman" w:hAnsi="Times New Roman"/>
          <w:b/>
          <w:bCs/>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pPr>
      <w:r>
        <w:rPr>
          <w:rFonts w:ascii="Times New Roman" w:hAnsi="Times New Roman"/>
          <w:sz w:val="26"/>
          <w:szCs w:val="26"/>
        </w:rPr>
        <w:tab/>
        <w:t xml:space="preserve">5.1.1. Размещения информации на сайте организатора амадеусмед.рф – в разделе </w:t>
      </w:r>
      <w:r>
        <w:rPr>
          <w:rFonts w:ascii="Times New Roman" w:hAnsi="Times New Roman"/>
          <w:b/>
          <w:bCs/>
          <w:sz w:val="26"/>
          <w:szCs w:val="26"/>
        </w:rPr>
        <w:t>«</w:t>
      </w:r>
      <w:r>
        <w:rPr>
          <w:rFonts w:ascii="Times New Roman" w:hAnsi="Times New Roman"/>
          <w:sz w:val="26"/>
          <w:szCs w:val="26"/>
        </w:rPr>
        <w:t>Акции</w:t>
      </w:r>
      <w:r>
        <w:rPr>
          <w:rFonts w:ascii="Times New Roman" w:hAnsi="Times New Roman"/>
          <w:b/>
          <w:bCs/>
          <w:sz w:val="26"/>
          <w:szCs w:val="26"/>
        </w:rPr>
        <w:t>»</w:t>
      </w:r>
      <w:r>
        <w:rPr>
          <w:rFonts w:ascii="Times New Roman" w:hAnsi="Times New Roman"/>
          <w:sz w:val="26"/>
          <w:szCs w:val="26"/>
        </w:rPr>
        <w:t>;</w:t>
      </w:r>
    </w:p>
    <w:p>
      <w:pPr>
        <w:pStyle w:val="Normal"/>
        <w:spacing w:lineRule="auto" w:line="240" w:before="0" w:after="0"/>
        <w:jc w:val="both"/>
        <w:rPr/>
      </w:pPr>
      <w:r>
        <w:rPr>
          <w:rFonts w:ascii="Times New Roman" w:hAnsi="Times New Roman"/>
          <w:sz w:val="26"/>
          <w:szCs w:val="26"/>
        </w:rPr>
        <w:tab/>
        <w:t>5.1.2. Размещения информации на территории структурных подразделений медицинского центра.</w:t>
      </w:r>
    </w:p>
    <w:p>
      <w:pPr>
        <w:pStyle w:val="Normal"/>
        <w:spacing w:lineRule="auto" w:line="240" w:before="0" w:after="0"/>
        <w:jc w:val="both"/>
        <w:rPr/>
      </w:pPr>
      <w:r>
        <w:rPr>
          <w:rFonts w:ascii="Times New Roman" w:hAnsi="Times New Roman"/>
          <w:sz w:val="26"/>
          <w:szCs w:val="26"/>
        </w:rPr>
        <w:tab/>
        <w:t>5.1.3. Размещения в социальных сетях:</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ВКонтакте: https://vk.com/amadeusmed</w:t>
      </w:r>
    </w:p>
    <w:p>
      <w:pPr>
        <w:pStyle w:val="Normal"/>
        <w:spacing w:lineRule="auto" w:line="240" w:before="0" w:after="0"/>
        <w:jc w:val="both"/>
        <w:rPr>
          <w:rFonts w:ascii="Times New Roman" w:hAnsi="Times New Roman"/>
          <w:sz w:val="24"/>
          <w:szCs w:val="24"/>
          <w:lang w:val="en-US"/>
        </w:rPr>
      </w:pPr>
      <w:r>
        <w:rPr>
          <w:rFonts w:ascii="Times New Roman" w:hAnsi="Times New Roman"/>
          <w:color w:val="000000"/>
          <w:sz w:val="26"/>
          <w:szCs w:val="26"/>
          <w:lang w:val="en-US"/>
        </w:rPr>
        <w:t>Instagram: amadeusmed.krd</w:t>
      </w:r>
    </w:p>
    <w:p>
      <w:pPr>
        <w:pStyle w:val="Normal"/>
        <w:spacing w:lineRule="auto" w:line="240" w:before="0" w:after="0"/>
        <w:jc w:val="both"/>
        <w:rPr/>
      </w:pPr>
      <w:r>
        <w:rPr>
          <w:rFonts w:ascii="Times New Roman" w:hAnsi="Times New Roman"/>
          <w:color w:val="000000"/>
          <w:sz w:val="26"/>
          <w:szCs w:val="26"/>
        </w:rPr>
        <w:t>Одноклассники</w:t>
      </w:r>
      <w:r>
        <w:rPr>
          <w:rFonts w:ascii="Times New Roman" w:hAnsi="Times New Roman"/>
          <w:color w:val="000000"/>
          <w:sz w:val="26"/>
          <w:szCs w:val="26"/>
          <w:lang w:val="en-US"/>
        </w:rPr>
        <w:t xml:space="preserve">: </w:t>
      </w:r>
      <w:hyperlink r:id="rId2">
        <w:r>
          <w:rPr>
            <w:rStyle w:val="Style14"/>
            <w:rFonts w:ascii="Times New Roman" w:hAnsi="Times New Roman"/>
            <w:color w:val="000000"/>
            <w:sz w:val="26"/>
            <w:szCs w:val="26"/>
            <w:lang w:val="en-US"/>
          </w:rPr>
          <w:t>www.ok.ru/medtsentr.amadeus</w:t>
        </w:r>
      </w:hyperlink>
      <w:r>
        <w:rPr>
          <w:rStyle w:val="Style14"/>
          <w:rFonts w:ascii="Times New Roman" w:hAnsi="Times New Roman"/>
          <w:color w:val="000000"/>
          <w:sz w:val="26"/>
          <w:szCs w:val="26"/>
          <w:lang w:val="en-US"/>
        </w:rPr>
        <w:t>.</w:t>
      </w:r>
    </w:p>
    <w:p>
      <w:pPr>
        <w:pStyle w:val="Normal"/>
        <w:spacing w:lineRule="auto" w:line="240" w:before="0" w:after="0"/>
        <w:jc w:val="both"/>
        <w:rPr/>
      </w:pPr>
      <w:r>
        <w:rPr>
          <w:rFonts w:ascii="Times New Roman" w:hAnsi="Times New Roman"/>
          <w:sz w:val="26"/>
          <w:szCs w:val="26"/>
          <w:lang w:val="en-US"/>
        </w:rPr>
        <w:tab/>
      </w:r>
    </w:p>
    <w:p>
      <w:pPr>
        <w:pStyle w:val="Normal"/>
        <w:spacing w:lineRule="auto" w:line="240" w:before="0" w:after="0"/>
        <w:jc w:val="both"/>
        <w:rPr>
          <w:sz w:val="26"/>
          <w:szCs w:val="26"/>
        </w:rPr>
      </w:pPr>
      <w:r>
        <w:rPr>
          <w:rFonts w:ascii="Times New Roman" w:hAnsi="Times New Roman"/>
          <w:b/>
          <w:bCs/>
          <w:sz w:val="26"/>
          <w:szCs w:val="26"/>
        </w:rPr>
        <w:tab/>
        <w:t>6. Порядок участия и проведения Акции</w:t>
      </w:r>
    </w:p>
    <w:p>
      <w:pPr>
        <w:pStyle w:val="Normal"/>
        <w:spacing w:lineRule="auto" w:line="240" w:before="0" w:after="0"/>
        <w:jc w:val="both"/>
        <w:rPr/>
      </w:pPr>
      <w:r>
        <w:rPr>
          <w:rFonts w:ascii="Times New Roman" w:hAnsi="Times New Roman"/>
          <w:sz w:val="26"/>
          <w:szCs w:val="26"/>
        </w:rPr>
        <w:tab/>
        <w:t xml:space="preserve">6.1.Участником Акции (далее – Участник) может стать любой желающий, которым соблюдены условия, прописанные в разделе 3 настоящих Правил. </w:t>
      </w:r>
    </w:p>
    <w:p>
      <w:pPr>
        <w:pStyle w:val="Normal"/>
        <w:spacing w:lineRule="auto" w:line="240" w:before="0" w:after="0"/>
        <w:jc w:val="both"/>
        <w:rPr/>
      </w:pPr>
      <w:r>
        <w:rPr>
          <w:rFonts w:ascii="Times New Roman" w:hAnsi="Times New Roman"/>
          <w:sz w:val="26"/>
          <w:szCs w:val="26"/>
        </w:rPr>
        <w:tab/>
        <w:t xml:space="preserve">6.2. В рамках настоящей акции скидки предоставляются на следующие платные медицинские услуги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 </w:t>
      </w:r>
      <w:bookmarkStart w:id="1" w:name="__DdeLink__624_641146795"/>
      <w:bookmarkEnd w:id="1"/>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л</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абораторные исследования:</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6.2.1.  клинический анализ крови с лейкоцитарной формулой (5</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en-US" w:eastAsia="en-US" w:bidi="ar-SA"/>
        </w:rPr>
        <w:t>DIFF)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венозная кровь)</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Normal"/>
        <w:widowControl/>
        <w:bidi w:val="0"/>
        <w:spacing w:lineRule="auto" w:line="240" w:before="0" w:after="0"/>
        <w:ind w:left="0" w:right="0" w:firstLine="907"/>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6.2.2. анализ крови на тестостерон общий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shd w:val="clear" w:color="auto" w:fill="FFFFFF"/>
        <w:tabs>
          <w:tab w:val="clear" w:pos="708"/>
          <w:tab w:val="left" w:pos="11268" w:leader="none"/>
        </w:tabs>
        <w:bidi w:val="0"/>
        <w:snapToGrid w:val="false"/>
        <w:spacing w:lineRule="auto" w:line="240" w:before="0" w:after="0"/>
        <w:ind w:left="0" w:right="0" w:firstLine="907"/>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6.2.3.   анализ крови на простатоспецифический (ПСА) общий в размере 15%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6.2.4.  анализ крови на процент свободного ПСА (общий ПСА, свободный ПСА и соотношение) в размере 15%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6.2.5. общий анализ мочи в размере 10%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6.2.6. микроскопическое исследование отделяемого уретры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6.2.7. микроскопическое исследование мазка-отпечатка головки полового члена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6.2.8. на комплексное исследование крови: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en-US" w:eastAsia="en-US" w:bidi="ar-SA"/>
        </w:rPr>
        <w:t xml:space="preserve">TORCH-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комплекс (скрининг)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6.2.9. на комплексное исследование крови: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en-US" w:eastAsia="en-US" w:bidi="ar-SA"/>
        </w:rPr>
        <w:t xml:space="preserve">TORCH-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комплекс (базовый)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6.2.10. на комплексное исследование крови: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en-US" w:eastAsia="en-US" w:bidi="ar-SA"/>
        </w:rPr>
        <w:t xml:space="preserve">TORCH-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комплекс (расширенный)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6.2.11. на ПЦР-12 (количественно) в размере 20%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w:t>
      </w:r>
    </w:p>
    <w:p>
      <w:pPr>
        <w:pStyle w:val="Style24"/>
        <w:widowControl/>
        <w:suppressLineNumbers/>
        <w:bidi w:val="0"/>
        <w:spacing w:lineRule="auto" w:line="240" w:before="0" w:after="0"/>
        <w:ind w:left="0" w:right="0" w:firstLine="964"/>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6.2.12. на андрофлор в размере 10% </w:t>
      </w:r>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на период с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01 октября 2019 года по 31 октября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6.3. </w:t>
      </w:r>
      <w:bookmarkStart w:id="2" w:name="__DdeLink__5352_187378915"/>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Установить скидку на медицинскую услугу: первичный прием (осмотр, консультация)  врача-уролога в размере 15 % от стоимости услуг, согласно действующему Прейскуранту платных медицинских услуг ООО «МЕДФАРМКЛИНИК», на период с 01 сентября 2019 года по 30 сентября 2019 года.</w:t>
      </w:r>
      <w:bookmarkEnd w:id="2"/>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6.4. Установить скидку на следующие медицинские услуги - ультразвуковое исследование:</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6.4.1. предстательной железы в размере 10% от стоимости услуг, согласно действующему Прейскуранту платных медицинских услуг ООО «МЕДФАРМКЛИНИК», на период с 01 октября 2019 года по 31 октября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6.4.2. предстательной железы трансректальное в размере 10% от стоимости услуг, согласно действующему Прейскуранту платных медицинских услуг ООО «МЕДФАРМКЛИНИК», на период с 01 октября 2019 года по 31 октября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6.4.3. мочевого пузыря с определением остаточной мочи в размере 10% от стоимости услуг, согласно действующему Прейскуранту платных медицинских услуг ООО «МЕДФАРМКЛИНИК», на период с 01 октября 2019 года по 31 октября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6.4.4. мочевого пузыря в размере 10% от стоимости услуг, согласно действующему Прейскуранту платных медицинских услуг ООО «МЕДФАРМКЛИНИК», на период с 01 октября 2019 года по 31 октября 2019 года;</w:t>
      </w:r>
    </w:p>
    <w:p>
      <w:pPr>
        <w:pStyle w:val="Normal"/>
        <w:widowControl/>
        <w:shd w:val="clear" w:color="auto" w:fill="FFFFFF"/>
        <w:tabs>
          <w:tab w:val="clear" w:pos="708"/>
          <w:tab w:val="left" w:pos="11268" w:leader="none"/>
        </w:tabs>
        <w:bidi w:val="0"/>
        <w:snapToGrid w:val="false"/>
        <w:spacing w:lineRule="auto" w:line="240" w:before="0" w:after="0"/>
        <w:ind w:left="0" w:right="0" w:firstLine="680"/>
        <w:jc w:val="both"/>
        <w:rPr/>
      </w:pP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6.4.5. органов мошонки в размере 10% от стоимости услуг, согласно действующему Прейскуранту платных медицинских услуг ООО «МЕДФАРМКЛИНИК», на период с 01 октября 2019 года по 31 октября 2019 года. </w:t>
      </w:r>
    </w:p>
    <w:p>
      <w:pPr>
        <w:pStyle w:val="Normal"/>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ab/>
        <w:t xml:space="preserve">6.5. </w:t>
      </w:r>
      <w:r>
        <w:rPr>
          <w:rFonts w:eastAsia="Calibri" w:cs="Times New Roman" w:ascii="Times New Roman" w:hAnsi="Times New Roman"/>
          <w:b w:val="false"/>
          <w:bCs w:val="false"/>
          <w:i w:val="false"/>
          <w:caps w:val="false"/>
          <w:smallCaps w:val="false"/>
          <w:strike w:val="false"/>
          <w:dstrike w:val="false"/>
          <w:color w:val="auto"/>
          <w:spacing w:val="0"/>
          <w:kern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auto"/>
          <w:spacing w:val="0"/>
          <w:kern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pPr>
      <w:r>
        <w:rPr>
          <w:rFonts w:ascii="Times New Roman" w:hAnsi="Times New Roman"/>
          <w:sz w:val="26"/>
          <w:szCs w:val="26"/>
        </w:rPr>
        <w:tab/>
        <w:t xml:space="preserve">6.6.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pPr>
      <w:r>
        <w:rPr>
          <w:rFonts w:ascii="Times New Roman" w:hAnsi="Times New Roman"/>
          <w:sz w:val="26"/>
          <w:szCs w:val="26"/>
        </w:rPr>
        <w:tab/>
        <w:t>6.7. Срок действия акции с 01.10.2019 года по 31.10.2019 года.</w:t>
      </w:r>
    </w:p>
    <w:p>
      <w:pPr>
        <w:pStyle w:val="Normal"/>
        <w:spacing w:lineRule="auto" w:line="240" w:before="0" w:after="0"/>
        <w:jc w:val="both"/>
        <w:rPr/>
      </w:pPr>
      <w:r>
        <w:rPr>
          <w:rFonts w:ascii="Times New Roman" w:hAnsi="Times New Roman"/>
          <w:color w:val="000000"/>
          <w:sz w:val="26"/>
          <w:szCs w:val="26"/>
        </w:rPr>
        <w:tab/>
        <w:t>6.5. Скидка, предоставляемая по данной акции, не суммируется со скидками других действующих акций.</w:t>
      </w:r>
    </w:p>
    <w:p>
      <w:pPr>
        <w:pStyle w:val="Normal"/>
        <w:spacing w:lineRule="auto" w:line="240" w:before="0" w:after="0"/>
        <w:jc w:val="both"/>
        <w:rPr/>
      </w:pPr>
      <w:r>
        <w:rPr>
          <w:rFonts w:ascii="Times New Roman" w:hAnsi="Times New Roman"/>
          <w:sz w:val="26"/>
          <w:szCs w:val="26"/>
        </w:rPr>
        <w:tab/>
        <w:t xml:space="preserve">6.6. Дополнительные условия: </w:t>
      </w:r>
    </w:p>
    <w:p>
      <w:pPr>
        <w:pStyle w:val="Normal"/>
        <w:spacing w:lineRule="auto" w:line="240" w:before="0" w:after="0"/>
        <w:jc w:val="both"/>
        <w:rPr/>
      </w:pPr>
      <w:r>
        <w:rPr>
          <w:rFonts w:ascii="Times New Roman" w:hAnsi="Times New Roman"/>
          <w:sz w:val="26"/>
          <w:szCs w:val="26"/>
        </w:rPr>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sz w:val="26"/>
          <w:szCs w:val="26"/>
        </w:rPr>
      </w:pPr>
      <w:r>
        <w:rPr>
          <w:rFonts w:ascii="Times New Roman" w:hAnsi="Times New Roman"/>
          <w:b/>
          <w:bCs/>
          <w:sz w:val="26"/>
          <w:szCs w:val="26"/>
        </w:rPr>
        <w:tab/>
        <w:t>7. Права и обязанность Участника Акции</w:t>
      </w:r>
    </w:p>
    <w:p>
      <w:pPr>
        <w:pStyle w:val="Normal"/>
        <w:spacing w:lineRule="auto" w:line="240" w:before="0" w:after="0"/>
        <w:jc w:val="both"/>
        <w:rPr/>
      </w:pPr>
      <w:r>
        <w:rPr>
          <w:rFonts w:ascii="Times New Roman" w:hAnsi="Times New Roman"/>
          <w:sz w:val="26"/>
          <w:szCs w:val="26"/>
        </w:rPr>
        <w:tab/>
        <w:t>7.1. Участник Акции вправе:</w:t>
      </w:r>
    </w:p>
    <w:p>
      <w:pPr>
        <w:pStyle w:val="Normal"/>
        <w:spacing w:lineRule="auto" w:line="240" w:before="0" w:after="0"/>
        <w:jc w:val="both"/>
        <w:rPr/>
      </w:pPr>
      <w:r>
        <w:rPr>
          <w:rFonts w:ascii="Times New Roman" w:hAnsi="Times New Roman"/>
          <w:sz w:val="26"/>
          <w:szCs w:val="26"/>
        </w:rPr>
        <w:tab/>
        <w:t>7.1.1. Знакомиться с Условиями Акции;</w:t>
      </w:r>
    </w:p>
    <w:p>
      <w:pPr>
        <w:pStyle w:val="Normal"/>
        <w:spacing w:lineRule="auto" w:line="240" w:before="0" w:after="0"/>
        <w:jc w:val="both"/>
        <w:rPr/>
      </w:pPr>
      <w:r>
        <w:rPr>
          <w:rFonts w:ascii="Times New Roman" w:hAnsi="Times New Roman"/>
          <w:sz w:val="26"/>
          <w:szCs w:val="26"/>
        </w:rPr>
        <w:tab/>
        <w:t>7.1.2. Принимать участие в Акции в порядке, определенном настоящими Правилами.</w:t>
      </w:r>
    </w:p>
    <w:p>
      <w:pPr>
        <w:pStyle w:val="Normal"/>
        <w:spacing w:lineRule="auto" w:line="240" w:before="0" w:after="0"/>
        <w:jc w:val="both"/>
        <w:rPr/>
      </w:pPr>
      <w:r>
        <w:rPr>
          <w:rFonts w:ascii="Times New Roman" w:hAnsi="Times New Roman"/>
          <w:sz w:val="26"/>
          <w:szCs w:val="26"/>
        </w:rPr>
        <w:tab/>
        <w:t>7.2. Участник Акции обязан:</w:t>
      </w:r>
    </w:p>
    <w:p>
      <w:pPr>
        <w:pStyle w:val="Normal"/>
        <w:spacing w:lineRule="auto" w:line="240" w:before="0" w:after="0"/>
        <w:jc w:val="both"/>
        <w:rPr/>
      </w:pPr>
      <w:r>
        <w:rPr>
          <w:rFonts w:ascii="Times New Roman" w:hAnsi="Times New Roman"/>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pPr>
      <w:r>
        <w:rPr>
          <w:rFonts w:ascii="Times New Roman" w:hAnsi="Times New Roman"/>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8.1. Организатор Акции вправе:</w:t>
      </w:r>
    </w:p>
    <w:p>
      <w:pPr>
        <w:pStyle w:val="Normal"/>
        <w:spacing w:lineRule="auto" w:line="240" w:before="0" w:after="0"/>
        <w:jc w:val="both"/>
        <w:rPr/>
      </w:pPr>
      <w:r>
        <w:rPr>
          <w:rFonts w:ascii="Times New Roman" w:hAnsi="Times New Roman"/>
          <w:sz w:val="26"/>
          <w:szCs w:val="26"/>
        </w:rPr>
        <w:tab/>
        <w:t>8.1.1. В любое время изменять Правила проведения Акции, разместив соответствующую</w:t>
      </w:r>
      <w:r>
        <w:rPr>
          <w:rFonts w:ascii="Times New Roman" w:hAnsi="Times New Roman"/>
          <w:sz w:val="24"/>
          <w:szCs w:val="24"/>
        </w:rPr>
        <w:t xml:space="preserve"> </w:t>
      </w:r>
      <w:r>
        <w:rPr>
          <w:rFonts w:ascii="Times New Roman" w:hAnsi="Times New Roman"/>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9. Контакты Организатора</w:t>
      </w:r>
    </w:p>
    <w:p>
      <w:pPr>
        <w:pStyle w:val="NoSpacing"/>
        <w:jc w:val="both"/>
        <w:rPr/>
      </w:pPr>
      <w:r>
        <w:rPr>
          <w:rFonts w:ascii="Times New Roman" w:hAnsi="Times New Roman"/>
          <w:sz w:val="24"/>
          <w:szCs w:val="24"/>
        </w:rPr>
        <w:tab/>
        <w:t xml:space="preserve">9.1. </w:t>
      </w:r>
      <w:r>
        <w:rPr>
          <w:rFonts w:ascii="Times New Roman" w:hAnsi="Times New Roman"/>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sz w:val="24"/>
          <w:szCs w:val="24"/>
        </w:rPr>
        <w:t>.</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10. Прочие условия</w:t>
      </w:r>
    </w:p>
    <w:p>
      <w:pPr>
        <w:pStyle w:val="Normal"/>
        <w:spacing w:lineRule="auto" w:line="240" w:before="0" w:after="0"/>
        <w:jc w:val="both"/>
        <w:rPr/>
      </w:pPr>
      <w:r>
        <w:rPr>
          <w:rFonts w:ascii="Times New Roman" w:hAnsi="Times New Roman"/>
          <w:sz w:val="26"/>
          <w:szCs w:val="26"/>
        </w:rPr>
        <w:tab/>
        <w:t>10.1. Ф</w:t>
      </w:r>
      <w:r>
        <w:rPr>
          <w:rFonts w:ascii="Times New Roman" w:hAnsi="Times New Roman"/>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sz w:val="24"/>
          <w:szCs w:val="24"/>
        </w:rPr>
        <w:t xml:space="preserve"> </w:t>
      </w:r>
      <w:r>
        <w:rPr>
          <w:rFonts w:ascii="Times New Roman" w:hAnsi="Times New Roman"/>
          <w:sz w:val="26"/>
          <w:szCs w:val="26"/>
        </w:rPr>
        <w:t>(полное и безоговорочное согласие на обработку), в том числе фамилии, имени</w:t>
      </w:r>
      <w:r>
        <w:rPr>
          <w:rFonts w:ascii="Times New Roman" w:hAnsi="Times New Roman"/>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pPr>
      <w:r>
        <w:rPr>
          <w:rFonts w:ascii="Times New Roman" w:hAnsi="Times New Roman"/>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200"/>
        <w:jc w:val="both"/>
        <w:rPr/>
      </w:pPr>
      <w:r>
        <w:rPr/>
      </w:r>
    </w:p>
    <w:sectPr>
      <w:headerReference w:type="default" r:id="rId3"/>
      <w:headerReference w:type="first" r:id="rId4"/>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5</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ListLabel7">
    <w:name w:val="ListLabel 7"/>
    <w:qFormat/>
    <w:rPr>
      <w:rFonts w:ascii="Times New Roman" w:hAnsi="Times New Roman"/>
      <w:color w:val="auto"/>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character" w:styleId="ListLabel10">
    <w:name w:val="ListLabel 10"/>
    <w:qFormat/>
    <w:rPr>
      <w:rFonts w:ascii="Times New Roman" w:hAnsi="Times New Roman"/>
      <w:color w:val="000000"/>
      <w:sz w:val="26"/>
      <w:szCs w:val="26"/>
      <w:lang w:val="en-US"/>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lear" w:pos="708"/>
        <w:tab w:val="center" w:pos="4677" w:leader="none"/>
        <w:tab w:val="right" w:pos="9355" w:leader="none"/>
      </w:tabs>
    </w:pPr>
    <w:rPr/>
  </w:style>
  <w:style w:type="paragraph" w:styleId="Style24">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ru/medtsentr.amadeus"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LibreOffice/6.2.4.2$Windows_X86_64 LibreOffice_project/2412653d852ce75f65fbfa83fb7e7b669a126d64</Application>
  <Pages>5</Pages>
  <Words>1496</Words>
  <Characters>9907</Characters>
  <CharactersWithSpaces>11406</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2019-07-31T10:47:05Z</cp:lastPrinted>
  <dcterms:modified xsi:type="dcterms:W3CDTF">2019-09-30T16:09:12Z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