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Правила выдачи 20% скидочных карт</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в честь дня начала медицинской деятельности </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ООО «МЕДФАРМКЛИНИК»</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по адресу оказания медицинских услуг:</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г. Краснодар ул. Баварская дом 8 офис 471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и их использования,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условия и порядок предоставления скидок </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по 20% скидочной карте</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r>
      <w:r>
        <w:rPr>
          <w:rFonts w:ascii="Times New Roman" w:hAnsi="Times New Roman"/>
          <w:b/>
          <w:bCs/>
          <w:color w:val="000000"/>
          <w:sz w:val="26"/>
          <w:szCs w:val="26"/>
        </w:rPr>
        <w:t xml:space="preserve">1.  Общие положения  </w:t>
      </w:r>
    </w:p>
    <w:p>
      <w:pPr>
        <w:pStyle w:val="Normal"/>
        <w:spacing w:lineRule="auto" w:line="240" w:before="0" w:after="0"/>
        <w:jc w:val="both"/>
        <w:rPr>
          <w:color w:val="000000"/>
        </w:rPr>
      </w:pPr>
      <w:r>
        <w:rPr>
          <w:rFonts w:ascii="Times New Roman" w:hAnsi="Times New Roman"/>
          <w:b w:val="false"/>
          <w:bCs w:val="false"/>
          <w:color w:val="000000"/>
          <w:sz w:val="26"/>
          <w:szCs w:val="26"/>
        </w:rPr>
        <w:tab/>
        <w:t>1.1. Настоящие Правила определяют условия выдачи 20</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 скидочных карт, распространяемых в честь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дня</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 начала медицинской деятельности ООО «МЕДФАРМКЛИНИК» по адресу оказания медицинских услуг: Краснодарский край, г. Краснодар, Прикубанский внутригородской округ, ул. Красных Партизан, дом 1/3, корпус 6, и их использования, условия и порядок предоставления скидок по 20% скидочной карте.</w:t>
      </w:r>
    </w:p>
    <w:p>
      <w:pPr>
        <w:pStyle w:val="Normal"/>
        <w:spacing w:lineRule="auto" w:line="240" w:before="0" w:after="0"/>
        <w:jc w:val="both"/>
        <w:rPr>
          <w:color w:val="000000"/>
        </w:rPr>
      </w:pPr>
      <w:r>
        <w:rPr>
          <w:rFonts w:ascii="Times New Roman" w:hAnsi="Times New Roman"/>
          <w:color w:val="000000"/>
          <w:sz w:val="26"/>
          <w:szCs w:val="26"/>
        </w:rPr>
        <w:tab/>
        <w:t>1.2. Настоящая скидочная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ООО «МЕДФАРМКЛИНИК»,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color w:val="000000"/>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1.3. Порядок получения скидочной карты следующий:</w:t>
      </w:r>
    </w:p>
    <w:p>
      <w:pPr>
        <w:pStyle w:val="Normal"/>
        <w:spacing w:lineRule="auto" w:line="240" w:before="0" w:after="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09.07.2018 года  на праздновании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дня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начала медицинской деятельности ООО «МЕДФАРМКЛИНИК» по адресу: Краснодарский край, г. Краснодар, Прикубанский внутригородской округ, ул. Красных Партизан, дом 1/3, корпус 6, в честь начала деятельности,  будет осуществлено единоразовое распространение 20% скидочных карт в количестве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20 (двадцати)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штук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среди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гостей, присутствующих на праздновании. Одно физическое лицо может получить только одну скидочную карту «в руки».</w:t>
      </w:r>
    </w:p>
    <w:p>
      <w:pPr>
        <w:pStyle w:val="Normal"/>
        <w:spacing w:lineRule="auto" w:line="240" w:before="0" w:after="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1.4.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Получая и в дальнейшем предъявляя при оплате полученных платных медицинских услуг 20% скидочную карту, Потребитель становится участником настоящей скидочной акции.</w:t>
      </w:r>
    </w:p>
    <w:p>
      <w:pPr>
        <w:pStyle w:val="Normal"/>
        <w:spacing w:lineRule="auto" w:line="240" w:before="0" w:after="0"/>
        <w:jc w:val="both"/>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Выдаваемая скидочная карта предоставляет право на получение скидки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 виде 20%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от стоимости услуг, согласно действующему Прейскуранту платных медицинских услуг ООО «МЕДФАРМКЛИНИК»,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на все виды платных медицинских услуг, оказываемых организацией,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за исключением медицинских услуг зубо - технической лаборатории,  в период с  09 июля 2018 года по 31 декабря 2020 года (включительно) при оплате ее предъявителем полученных медицинских услуг.</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w:t>
      </w:r>
    </w:p>
    <w:p>
      <w:pPr>
        <w:pStyle w:val="Normal"/>
        <w:spacing w:lineRule="auto" w:line="240" w:before="0" w:after="0"/>
        <w:jc w:val="both"/>
        <w:rPr>
          <w:color w:val="000000"/>
        </w:rPr>
      </w:pPr>
      <w:r>
        <w:rPr>
          <w:rFonts w:eastAsia="Calibri" w:cs="Times New Roman" w:ascii="Times New Roman" w:hAnsi="Times New Roman"/>
          <w:color w:val="000000"/>
          <w:kern w:val="0"/>
          <w:sz w:val="26"/>
          <w:szCs w:val="26"/>
          <w:lang w:val="ru-RU" w:eastAsia="en-US" w:bidi="ar-SA"/>
        </w:rPr>
        <w:tab/>
      </w:r>
      <w:r>
        <w:rPr>
          <w:rFonts w:eastAsia="Calibri" w:cs="Times New Roman" w:ascii="Times New Roman" w:hAnsi="Times New Roman"/>
          <w:color w:val="000000"/>
          <w:kern w:val="0"/>
          <w:sz w:val="26"/>
          <w:szCs w:val="26"/>
          <w:lang w:val="ru-RU" w:eastAsia="en-US" w:bidi="ar-SA"/>
        </w:rPr>
        <w:t>1</w:t>
      </w: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.5. Скидочная карта  не требует дополнительной активации.</w:t>
      </w:r>
    </w:p>
    <w:p>
      <w:pPr>
        <w:pStyle w:val="Normal"/>
        <w:spacing w:lineRule="auto" w:line="240" w:before="0" w:after="0"/>
        <w:jc w:val="both"/>
        <w:rPr>
          <w:color w:val="000000"/>
        </w:rPr>
      </w:pPr>
      <w:r>
        <w:rPr>
          <w:rFonts w:ascii="Times New Roman" w:hAnsi="Times New Roman"/>
          <w:color w:val="000000"/>
          <w:sz w:val="26"/>
          <w:szCs w:val="26"/>
        </w:rPr>
        <w:tab/>
        <w:t>1.6. Скидки, применяемые ООО «МЕДФАРМКЛИНИК» по иным скидочным акциям не суммируются со скидкой по скидочной карте, т.е. потребитель имеет право применить либо скидку по 20% скидочной  карте либо скидки, предоставляемые в рамках иной скидочной акции.</w:t>
      </w:r>
    </w:p>
    <w:p>
      <w:pPr>
        <w:pStyle w:val="Normal"/>
        <w:spacing w:lineRule="auto" w:line="240" w:before="0" w:after="0"/>
        <w:jc w:val="both"/>
        <w:rPr>
          <w:color w:val="000000"/>
        </w:rPr>
      </w:pPr>
      <w:r>
        <w:rPr>
          <w:rFonts w:ascii="Times New Roman" w:hAnsi="Times New Roman"/>
          <w:color w:val="000000"/>
          <w:sz w:val="26"/>
          <w:szCs w:val="26"/>
        </w:rPr>
        <w:tab/>
        <w:t>1.7. Срок действия 20% скидочных карт: с 09 июля 2018 года до 31 декабря 2020 года (включительно).</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2. Сведения об организаторе проведения Акции</w:t>
      </w:r>
    </w:p>
    <w:p>
      <w:pPr>
        <w:pStyle w:val="Normal"/>
        <w:spacing w:lineRule="auto" w:line="240" w:before="0" w:after="0"/>
        <w:jc w:val="both"/>
        <w:rPr>
          <w:color w:val="000000"/>
        </w:rPr>
      </w:pPr>
      <w:r>
        <w:rPr>
          <w:rFonts w:ascii="Times New Roman" w:hAnsi="Times New Roman"/>
          <w:color w:val="000000"/>
          <w:sz w:val="24"/>
          <w:szCs w:val="24"/>
        </w:rPr>
        <w:tab/>
        <w:t xml:space="preserve">2.1. </w:t>
      </w:r>
      <w:r>
        <w:rPr>
          <w:rFonts w:ascii="Times New Roman" w:hAnsi="Times New Roman"/>
          <w:color w:val="000000"/>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color w:val="000000"/>
        </w:rPr>
      </w:pPr>
      <w:r>
        <w:rPr>
          <w:rFonts w:ascii="Times New Roman" w:hAnsi="Times New Roman"/>
          <w:color w:val="000000"/>
          <w:sz w:val="26"/>
          <w:szCs w:val="26"/>
        </w:rPr>
        <w:tab/>
        <w:t>2.2. Сокращенное наименование: ООО «МЕДФАРМКЛИНИК».</w:t>
      </w:r>
    </w:p>
    <w:p>
      <w:pPr>
        <w:pStyle w:val="Normal"/>
        <w:spacing w:lineRule="auto" w:line="240" w:before="0" w:after="0"/>
        <w:jc w:val="both"/>
        <w:rPr>
          <w:color w:val="000000"/>
        </w:rPr>
      </w:pPr>
      <w:r>
        <w:rPr>
          <w:rFonts w:ascii="Times New Roman" w:hAnsi="Times New Roman"/>
          <w:color w:val="000000"/>
          <w:sz w:val="26"/>
          <w:szCs w:val="26"/>
        </w:rPr>
        <w:tab/>
        <w:t xml:space="preserve">2.3. Юридический адрес: 350053, г. Краснодар, ул. Баварская, д. 8. </w:t>
      </w:r>
    </w:p>
    <w:p>
      <w:pPr>
        <w:pStyle w:val="Normal"/>
        <w:spacing w:lineRule="auto" w:line="240" w:before="0" w:after="0"/>
        <w:jc w:val="both"/>
        <w:rPr>
          <w:color w:val="000000"/>
        </w:rPr>
      </w:pPr>
      <w:r>
        <w:rPr>
          <w:rFonts w:ascii="Times New Roman" w:hAnsi="Times New Roman"/>
          <w:color w:val="000000"/>
          <w:sz w:val="26"/>
          <w:szCs w:val="26"/>
        </w:rPr>
        <w:tab/>
        <w:t>2.4. ИНН 2311247780</w:t>
      </w:r>
    </w:p>
    <w:p>
      <w:pPr>
        <w:pStyle w:val="Normal"/>
        <w:spacing w:lineRule="auto" w:line="240" w:before="0" w:after="0"/>
        <w:jc w:val="both"/>
        <w:rPr>
          <w:color w:val="000000"/>
        </w:rPr>
      </w:pPr>
      <w:r>
        <w:rPr>
          <w:rFonts w:ascii="Times New Roman" w:hAnsi="Times New Roman"/>
          <w:color w:val="000000"/>
          <w:sz w:val="26"/>
          <w:szCs w:val="26"/>
        </w:rPr>
        <w:tab/>
        <w:t xml:space="preserve">2.5. ОГРН 1172375091063. </w:t>
      </w:r>
    </w:p>
    <w:p>
      <w:pPr>
        <w:pStyle w:val="Normal"/>
        <w:spacing w:lineRule="auto" w:line="240" w:before="0" w:after="0"/>
        <w:jc w:val="both"/>
        <w:rPr>
          <w:color w:val="000000"/>
        </w:rPr>
      </w:pPr>
      <w:r>
        <w:rPr>
          <w:rFonts w:ascii="Times New Roman" w:hAnsi="Times New Roman"/>
          <w:color w:val="000000"/>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2.7. Место предоставления медицинских услуг по акции:</w:t>
      </w:r>
    </w:p>
    <w:p>
      <w:pPr>
        <w:pStyle w:val="Normal"/>
        <w:spacing w:lineRule="auto" w:line="240" w:before="0" w:after="0"/>
        <w:jc w:val="both"/>
        <w:rPr>
          <w:color w:val="000000"/>
        </w:rPr>
      </w:pPr>
      <w:r>
        <w:rPr>
          <w:rFonts w:ascii="Times New Roman" w:hAnsi="Times New Roman"/>
          <w:color w:val="000000"/>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color w:val="000000"/>
        </w:rPr>
      </w:pPr>
      <w:r>
        <w:rPr>
          <w:rFonts w:ascii="Times New Roman" w:hAnsi="Times New Roman"/>
          <w:color w:val="000000"/>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ab/>
      </w:r>
    </w:p>
    <w:p>
      <w:pPr>
        <w:pStyle w:val="Normal"/>
        <w:spacing w:lineRule="auto" w:line="240" w:before="0" w:after="0"/>
        <w:jc w:val="both"/>
        <w:rPr>
          <w:color w:val="000000"/>
        </w:rPr>
      </w:pPr>
      <w:r>
        <w:rPr>
          <w:rFonts w:ascii="Times New Roman" w:hAnsi="Times New Roman"/>
          <w:b/>
          <w:bCs/>
          <w:color w:val="000000"/>
          <w:sz w:val="26"/>
          <w:szCs w:val="26"/>
        </w:rPr>
        <w:tab/>
        <w:t>3. Участники Акции</w:t>
      </w:r>
    </w:p>
    <w:p>
      <w:pPr>
        <w:pStyle w:val="Normal"/>
        <w:spacing w:lineRule="auto" w:line="240" w:before="0" w:after="0"/>
        <w:jc w:val="both"/>
        <w:rPr>
          <w:color w:val="000000"/>
        </w:rPr>
      </w:pPr>
      <w:r>
        <w:rPr>
          <w:rFonts w:ascii="Times New Roman" w:hAnsi="Times New Roman"/>
          <w:color w:val="000000"/>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color w:val="000000"/>
        </w:rPr>
      </w:pPr>
      <w:r>
        <w:rPr>
          <w:rFonts w:ascii="Times New Roman" w:hAnsi="Times New Roman"/>
          <w:color w:val="000000"/>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color w:val="000000"/>
        </w:rPr>
      </w:pPr>
      <w:r>
        <w:rPr>
          <w:rFonts w:ascii="Times New Roman" w:hAnsi="Times New Roman"/>
          <w:color w:val="000000"/>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color w:val="000000"/>
        </w:rPr>
      </w:pPr>
      <w:r>
        <w:rPr>
          <w:rFonts w:ascii="Times New Roman" w:hAnsi="Times New Roman"/>
          <w:b/>
          <w:bCs/>
          <w:color w:val="000000"/>
          <w:sz w:val="26"/>
          <w:szCs w:val="26"/>
        </w:rPr>
        <w:tab/>
      </w:r>
      <w:r>
        <w:rPr>
          <w:rFonts w:ascii="Times New Roman" w:hAnsi="Times New Roman"/>
          <w:color w:val="000000"/>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Style19"/>
        <w:spacing w:lineRule="auto" w:line="240" w:before="0" w:after="0"/>
        <w:ind w:left="0" w:right="0" w:hanging="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ab/>
        <w:t>3.5. С момента получения карты ее предъявитель становится участником настоящей скидочной программы ООО «МЕДФАРМКЛИНИК» и на него будет распространяться действие настоящих Правил со всеми периодически вносимыми в них изменениями и дополнениями.</w:t>
      </w:r>
    </w:p>
    <w:p>
      <w:pPr>
        <w:pStyle w:val="ListParagraph"/>
        <w:widowControl/>
        <w:bidi w:val="0"/>
        <w:spacing w:lineRule="auto" w:line="240" w:before="0" w:after="0"/>
        <w:ind w:left="0" w:right="0" w:firstLine="680"/>
        <w:contextualSpacing/>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3.6. Владельцами и предъявителями 20% скидочной карты могут быть только физические лица.</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4. Общие сроки проведения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4.1. Общие сроки проведения Акции: с</w:t>
      </w:r>
      <w:r>
        <w:rPr>
          <w:rFonts w:ascii="Times New Roman" w:hAnsi="Times New Roman"/>
          <w:b/>
          <w:color w:val="000000"/>
          <w:sz w:val="26"/>
          <w:szCs w:val="26"/>
        </w:rPr>
        <w:t xml:space="preserve"> 09.07.2018 по 31.12.2020 года.</w:t>
      </w:r>
    </w:p>
    <w:p>
      <w:pPr>
        <w:pStyle w:val="Normal"/>
        <w:spacing w:lineRule="auto" w:line="240" w:before="0" w:after="0"/>
        <w:jc w:val="both"/>
        <w:rPr>
          <w:color w:val="000000"/>
        </w:rPr>
      </w:pPr>
      <w:r>
        <w:rPr>
          <w:rFonts w:ascii="Times New Roman" w:hAnsi="Times New Roman"/>
          <w:color w:val="000000"/>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color w:val="000000"/>
        </w:rPr>
      </w:pPr>
      <w:r>
        <w:rPr>
          <w:rFonts w:ascii="Times New Roman" w:hAnsi="Times New Roman"/>
          <w:color w:val="000000"/>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sz w:val="26"/>
          <w:szCs w:val="26"/>
        </w:rPr>
      </w:pPr>
      <w:r>
        <w:rPr>
          <w:rFonts w:ascii="Times New Roman" w:hAnsi="Times New Roman"/>
          <w:b/>
          <w:bCs/>
          <w:color w:val="000000"/>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color w:val="000000"/>
        </w:rPr>
      </w:pPr>
      <w:r>
        <w:rPr>
          <w:rFonts w:ascii="Times New Roman" w:hAnsi="Times New Roman"/>
          <w:color w:val="000000"/>
          <w:sz w:val="26"/>
          <w:szCs w:val="26"/>
        </w:rPr>
        <w:tab/>
        <w:t xml:space="preserve">5.1.1. Размещения информации на сайте организатора амадеусмед.рф – в разделе </w:t>
      </w:r>
      <w:r>
        <w:rPr>
          <w:rFonts w:ascii="Times New Roman" w:hAnsi="Times New Roman"/>
          <w:b/>
          <w:bCs/>
          <w:color w:val="000000"/>
          <w:sz w:val="26"/>
          <w:szCs w:val="26"/>
        </w:rPr>
        <w:t>«</w:t>
      </w:r>
      <w:r>
        <w:rPr>
          <w:rFonts w:ascii="Times New Roman" w:hAnsi="Times New Roman"/>
          <w:color w:val="000000"/>
          <w:sz w:val="26"/>
          <w:szCs w:val="26"/>
        </w:rPr>
        <w:t>Акции</w:t>
      </w:r>
      <w:r>
        <w:rPr>
          <w:rFonts w:ascii="Times New Roman" w:hAnsi="Times New Roman"/>
          <w:b/>
          <w:bCs/>
          <w:color w:val="000000"/>
          <w:sz w:val="26"/>
          <w:szCs w:val="26"/>
        </w:rPr>
        <w:t>»</w:t>
      </w:r>
      <w:r>
        <w:rPr>
          <w:rFonts w:ascii="Times New Roman" w:hAnsi="Times New Roman"/>
          <w:color w:val="000000"/>
          <w:sz w:val="26"/>
          <w:szCs w:val="26"/>
        </w:rPr>
        <w:t>;</w:t>
      </w:r>
    </w:p>
    <w:p>
      <w:pPr>
        <w:pStyle w:val="Normal"/>
        <w:spacing w:lineRule="auto" w:line="240" w:before="0" w:after="0"/>
        <w:jc w:val="both"/>
        <w:rPr>
          <w:color w:val="000000"/>
        </w:rPr>
      </w:pPr>
      <w:r>
        <w:rPr>
          <w:rFonts w:ascii="Times New Roman" w:hAnsi="Times New Roman"/>
          <w:color w:val="000000"/>
          <w:sz w:val="26"/>
          <w:szCs w:val="26"/>
        </w:rPr>
        <w:tab/>
        <w:t>5.1.2. Размещения информации на территории площадей ООО «МЕДФАРМКЛИНИК».</w:t>
      </w:r>
    </w:p>
    <w:p>
      <w:pPr>
        <w:pStyle w:val="Normal"/>
        <w:spacing w:lineRule="auto" w:line="240" w:before="0" w:after="0"/>
        <w:jc w:val="both"/>
        <w:rPr>
          <w:color w:val="000000"/>
        </w:rPr>
      </w:pPr>
      <w:r>
        <w:rPr>
          <w:rFonts w:ascii="Times New Roman" w:hAnsi="Times New Roman"/>
          <w:color w:val="000000"/>
          <w:sz w:val="26"/>
          <w:szCs w:val="26"/>
        </w:rPr>
        <w:tab/>
      </w:r>
    </w:p>
    <w:p>
      <w:pPr>
        <w:pStyle w:val="Normal"/>
        <w:spacing w:lineRule="auto" w:line="240" w:before="0" w:after="0"/>
        <w:jc w:val="both"/>
        <w:rPr>
          <w:color w:val="000000"/>
        </w:rPr>
      </w:pPr>
      <w:r>
        <w:rPr>
          <w:rFonts w:ascii="Times New Roman" w:hAnsi="Times New Roman"/>
          <w:color w:val="000000"/>
          <w:sz w:val="26"/>
          <w:szCs w:val="26"/>
          <w:lang w:val="en-US"/>
        </w:rPr>
        <w:tab/>
      </w:r>
      <w:r>
        <w:rPr>
          <w:rFonts w:ascii="Times New Roman" w:hAnsi="Times New Roman"/>
          <w:b/>
          <w:bCs/>
          <w:color w:val="000000"/>
          <w:sz w:val="26"/>
          <w:szCs w:val="26"/>
        </w:rPr>
        <w:t>6. Порядок участия и проведения Акции</w:t>
      </w:r>
    </w:p>
    <w:p>
      <w:pPr>
        <w:pStyle w:val="Normal"/>
        <w:spacing w:lineRule="auto" w:line="240" w:before="0" w:after="0"/>
        <w:jc w:val="both"/>
        <w:rPr>
          <w:color w:val="000000"/>
        </w:rPr>
      </w:pPr>
      <w:r>
        <w:rPr>
          <w:rFonts w:ascii="Times New Roman" w:hAnsi="Times New Roman"/>
          <w:color w:val="000000"/>
          <w:sz w:val="26"/>
          <w:szCs w:val="26"/>
        </w:rPr>
        <w:tab/>
        <w:t xml:space="preserve">6.1.Участником Акции (далее – Участник) может стать любое желающее физическое лицо, которым соблюдены условия, прописанные в разделе 3 настоящих Правил. </w:t>
      </w:r>
    </w:p>
    <w:p>
      <w:pPr>
        <w:pStyle w:val="Normal"/>
        <w:spacing w:lineRule="auto" w:line="240" w:before="0" w:after="0"/>
        <w:jc w:val="both"/>
        <w:rPr>
          <w:color w:val="000000"/>
        </w:rPr>
      </w:pPr>
      <w:r>
        <w:rPr>
          <w:rFonts w:ascii="Times New Roman" w:hAnsi="Times New Roman"/>
          <w:color w:val="000000"/>
          <w:sz w:val="26"/>
          <w:szCs w:val="26"/>
        </w:rPr>
        <w:tab/>
        <w:t xml:space="preserve">6.2. В рамках настоящей акции: </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Скидки предоставляются при оплате предъявителем 20% скидочной карты оказанных в ООО «МЕДФАРМКЛИНИК» платных медицинских услуг, за исключением  медицинских услуг зубо - технической лаборатории.</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Для получения скидки предъявитель 20% скидочной карты должен уведомить сотрудников ООО «МЕДФАРМКЛИНИК» перед оплатой получаемой услуги о том, что приобретение услуги будет совершено в рамках настоящей скидочной акции, путем предъявления 20% скидочной карты до момента предъявления счета.</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ООО «МЕДФАРМКЛИНИК» вправе отказать предъявителю 20% скидочной  карты в предоставлении скидки, если карта была предъявлена после составления счета.</w:t>
      </w:r>
    </w:p>
    <w:p>
      <w:pPr>
        <w:pStyle w:val="Normal"/>
        <w:spacing w:lineRule="auto" w:line="240" w:before="0" w:after="0"/>
        <w:jc w:val="both"/>
        <w:rPr>
          <w:color w:val="00000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6.3.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color w:val="000000"/>
        </w:rPr>
      </w:pPr>
      <w:r>
        <w:rPr>
          <w:rFonts w:ascii="Times New Roman" w:hAnsi="Times New Roman"/>
          <w:color w:val="000000"/>
          <w:sz w:val="26"/>
          <w:szCs w:val="26"/>
        </w:rPr>
        <w:tab/>
        <w:t xml:space="preserve">6.4.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b w:val="false"/>
          <w:bCs w:val="false"/>
          <w:color w:val="000000"/>
          <w:sz w:val="26"/>
          <w:szCs w:val="26"/>
        </w:rPr>
        <w:t>6.5. Срок действия акции с  09.07.2018 по 31.12.2020 года.</w:t>
      </w:r>
    </w:p>
    <w:p>
      <w:pPr>
        <w:pStyle w:val="Normal"/>
        <w:spacing w:lineRule="auto" w:line="240" w:before="0" w:after="0"/>
        <w:jc w:val="both"/>
        <w:rPr>
          <w:color w:val="000000"/>
        </w:rPr>
      </w:pPr>
      <w:r>
        <w:rPr>
          <w:rFonts w:ascii="Times New Roman" w:hAnsi="Times New Roman"/>
          <w:color w:val="000000"/>
          <w:sz w:val="26"/>
          <w:szCs w:val="26"/>
        </w:rPr>
        <w:tab/>
        <w:t>6.6. Скидка, предоставляемая по данной акции, не суммируется со скидками других действующих акций.</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6.7. Дополнительные условия: </w:t>
      </w:r>
    </w:p>
    <w:p>
      <w:pPr>
        <w:pStyle w:val="Normal"/>
        <w:spacing w:lineRule="auto" w:line="240" w:before="0" w:after="0"/>
        <w:jc w:val="both"/>
        <w:rPr>
          <w:color w:val="FF0000"/>
        </w:rPr>
      </w:pPr>
      <w:r>
        <w:rPr>
          <w:rFonts w:ascii="Times New Roman" w:hAnsi="Times New Roman"/>
          <w:color w:val="000000"/>
          <w:sz w:val="26"/>
          <w:szCs w:val="26"/>
        </w:rPr>
        <w:tab/>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6.8. В случае утраты, повреждения карты, 20% скидочная  карта восстановлению и повторной выдаче не подлежит.</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6.9. По окончанию срока действия 20% скидочной карты/срока окончания действия настоящей акции, скидочная карта возврату Организатору акции не подлежит, и уничтожается потребителем/участником акции самостоятельно.</w:t>
      </w:r>
    </w:p>
    <w:p>
      <w:pPr>
        <w:pStyle w:val="ListParagraph"/>
        <w:widowControl/>
        <w:bidi w:val="0"/>
        <w:spacing w:lineRule="auto" w:line="240" w:before="0" w:after="0"/>
        <w:ind w:left="0" w:right="0" w:firstLine="737"/>
        <w:contextualSpacing/>
        <w:jc w:val="both"/>
        <w:rPr>
          <w:rFonts w:ascii="Times New Roman" w:hAnsi="Times New Roman" w:eastAsia="Calibri" w:cs="Times New Roman"/>
          <w:color w:val="000000"/>
          <w:kern w:val="0"/>
          <w:sz w:val="26"/>
          <w:szCs w:val="26"/>
          <w:lang w:val="ru-RU" w:eastAsia="en-US" w:bidi="ar-SA"/>
        </w:rPr>
      </w:pPr>
      <w:r>
        <w:rPr>
          <w:rFonts w:eastAsia="Calibri" w:cs="Times New Roman" w:ascii="Times New Roman" w:hAnsi="Times New Roman"/>
          <w:color w:val="000000"/>
          <w:kern w:val="0"/>
          <w:sz w:val="26"/>
          <w:szCs w:val="26"/>
          <w:lang w:val="ru-RU" w:eastAsia="en-US" w:bidi="ar-SA"/>
        </w:rPr>
      </w:r>
    </w:p>
    <w:p>
      <w:pPr>
        <w:pStyle w:val="Normal"/>
        <w:spacing w:lineRule="auto" w:line="240" w:before="0" w:after="0"/>
        <w:jc w:val="both"/>
        <w:rPr>
          <w:color w:val="000000"/>
        </w:rPr>
      </w:pPr>
      <w:r>
        <w:rPr>
          <w:rFonts w:ascii="Times New Roman" w:hAnsi="Times New Roman"/>
          <w:b/>
          <w:bCs/>
          <w:color w:val="000000"/>
          <w:sz w:val="26"/>
          <w:szCs w:val="26"/>
        </w:rPr>
        <w:tab/>
        <w:t>7. Права и обязанность Участника Акции</w:t>
      </w:r>
    </w:p>
    <w:p>
      <w:pPr>
        <w:pStyle w:val="Normal"/>
        <w:spacing w:lineRule="auto" w:line="240" w:before="0" w:after="0"/>
        <w:jc w:val="both"/>
        <w:rPr>
          <w:color w:val="000000"/>
        </w:rPr>
      </w:pPr>
      <w:r>
        <w:rPr>
          <w:rFonts w:ascii="Times New Roman" w:hAnsi="Times New Roman"/>
          <w:color w:val="000000"/>
          <w:sz w:val="26"/>
          <w:szCs w:val="26"/>
        </w:rPr>
        <w:tab/>
        <w:t>7.1. Участник Акции вправе:</w:t>
      </w:r>
    </w:p>
    <w:p>
      <w:pPr>
        <w:pStyle w:val="Normal"/>
        <w:spacing w:lineRule="auto" w:line="240" w:before="0" w:after="0"/>
        <w:jc w:val="both"/>
        <w:rPr>
          <w:color w:val="000000"/>
        </w:rPr>
      </w:pPr>
      <w:r>
        <w:rPr>
          <w:rFonts w:ascii="Times New Roman" w:hAnsi="Times New Roman"/>
          <w:color w:val="000000"/>
          <w:sz w:val="26"/>
          <w:szCs w:val="26"/>
        </w:rPr>
        <w:tab/>
        <w:t>7.1.1. Знакомиться с Условиями Акции;</w:t>
      </w:r>
    </w:p>
    <w:p>
      <w:pPr>
        <w:pStyle w:val="Normal"/>
        <w:spacing w:lineRule="auto" w:line="240" w:before="0" w:after="0"/>
        <w:jc w:val="both"/>
        <w:rPr>
          <w:color w:val="000000"/>
        </w:rPr>
      </w:pPr>
      <w:r>
        <w:rPr>
          <w:rFonts w:ascii="Times New Roman" w:hAnsi="Times New Roman"/>
          <w:color w:val="000000"/>
          <w:sz w:val="26"/>
          <w:szCs w:val="26"/>
        </w:rPr>
        <w:tab/>
        <w:t>7.1.2. Принимать участие в Акции в порядке, определенном настоящими Правилами.</w:t>
      </w:r>
    </w:p>
    <w:p>
      <w:pPr>
        <w:pStyle w:val="Normal"/>
        <w:spacing w:lineRule="auto" w:line="240" w:before="0" w:after="0"/>
        <w:jc w:val="both"/>
        <w:rPr>
          <w:color w:val="000000"/>
        </w:rPr>
      </w:pPr>
      <w:r>
        <w:rPr>
          <w:rFonts w:ascii="Times New Roman" w:hAnsi="Times New Roman"/>
          <w:color w:val="000000"/>
          <w:sz w:val="26"/>
          <w:szCs w:val="26"/>
        </w:rPr>
        <w:tab/>
        <w:t>7.1.3. В случае необоснованного отказа предъявителю 20% скидочной карты в предоставлении скидки, последний вправе обратиться в рабочее время к руководству ООО «МЕДФАРМКЛИНИК», предоставив следующие документы:</w:t>
      </w:r>
    </w:p>
    <w:p>
      <w:pPr>
        <w:pStyle w:val="Normal"/>
        <w:spacing w:lineRule="auto" w:line="240" w:before="0" w:after="0"/>
        <w:jc w:val="both"/>
        <w:rPr>
          <w:color w:val="000000"/>
        </w:rPr>
      </w:pPr>
      <w:r>
        <w:rPr>
          <w:rFonts w:ascii="Times New Roman" w:hAnsi="Times New Roman"/>
          <w:color w:val="000000"/>
          <w:sz w:val="26"/>
          <w:szCs w:val="26"/>
        </w:rPr>
        <w:tab/>
        <w:t xml:space="preserve">- заявление о факте непредставления скидки; </w:t>
      </w:r>
    </w:p>
    <w:p>
      <w:pPr>
        <w:pStyle w:val="Normal"/>
        <w:spacing w:lineRule="auto" w:line="240" w:before="0" w:after="0"/>
        <w:jc w:val="both"/>
        <w:rPr>
          <w:color w:val="000000"/>
        </w:rPr>
      </w:pPr>
      <w:r>
        <w:rPr>
          <w:rFonts w:ascii="Times New Roman" w:hAnsi="Times New Roman"/>
          <w:color w:val="000000"/>
          <w:sz w:val="26"/>
          <w:szCs w:val="26"/>
        </w:rPr>
        <w:tab/>
        <w:t>- действительную 20% скидочную карту.</w:t>
      </w:r>
    </w:p>
    <w:p>
      <w:pPr>
        <w:pStyle w:val="Normal"/>
        <w:spacing w:lineRule="auto" w:line="240" w:before="0" w:after="0"/>
        <w:jc w:val="both"/>
        <w:rPr>
          <w:color w:val="000000"/>
        </w:rPr>
      </w:pPr>
      <w:r>
        <w:rPr>
          <w:rFonts w:ascii="Times New Roman" w:hAnsi="Times New Roman"/>
          <w:color w:val="000000"/>
          <w:sz w:val="26"/>
          <w:szCs w:val="26"/>
        </w:rPr>
        <w:tab/>
        <w:t>7.2. Участник Акции обязан:</w:t>
      </w:r>
    </w:p>
    <w:p>
      <w:pPr>
        <w:pStyle w:val="Normal"/>
        <w:spacing w:lineRule="auto" w:line="240" w:before="0" w:after="0"/>
        <w:jc w:val="both"/>
        <w:rPr>
          <w:color w:val="000000"/>
        </w:rPr>
      </w:pPr>
      <w:r>
        <w:rPr>
          <w:rFonts w:ascii="Times New Roman" w:hAnsi="Times New Roman"/>
          <w:color w:val="000000"/>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color w:val="000000"/>
        </w:rPr>
      </w:pPr>
      <w:r>
        <w:rPr>
          <w:rFonts w:ascii="Times New Roman" w:hAnsi="Times New Roman"/>
          <w:color w:val="000000"/>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8.1. Организатор Акции вправе:</w:t>
      </w:r>
    </w:p>
    <w:p>
      <w:pPr>
        <w:pStyle w:val="Normal"/>
        <w:spacing w:lineRule="auto" w:line="240" w:before="0" w:after="0"/>
        <w:jc w:val="both"/>
        <w:rPr>
          <w:color w:val="000000"/>
        </w:rPr>
      </w:pPr>
      <w:r>
        <w:rPr>
          <w:rFonts w:ascii="Times New Roman" w:hAnsi="Times New Roman"/>
          <w:color w:val="000000"/>
          <w:sz w:val="26"/>
          <w:szCs w:val="26"/>
        </w:rPr>
        <w:tab/>
        <w:t xml:space="preserve">8.1.1. </w:t>
      </w:r>
      <w:r>
        <w:rPr>
          <w:rFonts w:ascii="Times New Roman" w:hAnsi="Times New Roman"/>
          <w:color w:val="000000"/>
          <w:sz w:val="26"/>
          <w:szCs w:val="26"/>
        </w:rPr>
        <w:t>В любое время вправе в одностороннем порядке по своему усмотрению изменять настоящие правила. В этом случае соответствующие изменения размещаются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8.2. Организатор Акции обязан:</w:t>
      </w:r>
    </w:p>
    <w:p>
      <w:pPr>
        <w:pStyle w:val="Normal"/>
        <w:spacing w:lineRule="auto" w:line="240" w:before="0" w:after="0"/>
        <w:jc w:val="both"/>
        <w:rPr>
          <w:color w:val="000000"/>
        </w:rPr>
      </w:pPr>
      <w:r>
        <w:rPr>
          <w:rFonts w:ascii="Times New Roman" w:hAnsi="Times New Roman"/>
          <w:color w:val="000000"/>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8.3. В случае наступления форс-мажорных обстоятельств и не предоставления в связи с этим скидок по 20% скидочным картам, ООО «МЕДФАРМКЛИНИК» освобождается от ответственности.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9. Контакты Организатора</w:t>
      </w:r>
    </w:p>
    <w:p>
      <w:pPr>
        <w:pStyle w:val="NoSpacing"/>
        <w:jc w:val="both"/>
        <w:rPr>
          <w:color w:val="000000"/>
        </w:rPr>
      </w:pPr>
      <w:r>
        <w:rPr>
          <w:rFonts w:ascii="Times New Roman" w:hAnsi="Times New Roman"/>
          <w:color w:val="000000"/>
          <w:sz w:val="24"/>
          <w:szCs w:val="24"/>
        </w:rPr>
        <w:tab/>
        <w:t xml:space="preserve">9.1. </w:t>
      </w:r>
      <w:r>
        <w:rPr>
          <w:rFonts w:ascii="Times New Roman" w:hAnsi="Times New Roman"/>
          <w:color w:val="000000"/>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color w:val="000000"/>
          <w:sz w:val="24"/>
          <w:szCs w:val="24"/>
        </w:rPr>
        <w:t>.</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10. Прочие условия</w:t>
      </w:r>
    </w:p>
    <w:p>
      <w:pPr>
        <w:pStyle w:val="Normal"/>
        <w:spacing w:lineRule="auto" w:line="240" w:before="0" w:after="0"/>
        <w:jc w:val="both"/>
        <w:rPr>
          <w:color w:val="000000"/>
        </w:rPr>
      </w:pPr>
      <w:r>
        <w:rPr>
          <w:rFonts w:ascii="Times New Roman" w:hAnsi="Times New Roman"/>
          <w:color w:val="000000"/>
          <w:sz w:val="26"/>
          <w:szCs w:val="26"/>
        </w:rPr>
        <w:tab/>
        <w:t>10.1. Ф</w:t>
      </w:r>
      <w:r>
        <w:rPr>
          <w:rFonts w:ascii="Times New Roman" w:hAnsi="Times New Roman"/>
          <w:color w:val="000000"/>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color w:val="000000"/>
          <w:sz w:val="24"/>
          <w:szCs w:val="24"/>
        </w:rPr>
        <w:t xml:space="preserve"> </w:t>
      </w:r>
      <w:r>
        <w:rPr>
          <w:rFonts w:ascii="Times New Roman" w:hAnsi="Times New Roman"/>
          <w:color w:val="000000"/>
          <w:sz w:val="26"/>
          <w:szCs w:val="26"/>
        </w:rPr>
        <w:t>(полное и безоговорочное согласие на обработку), в том числе фамилии, имени</w:t>
      </w:r>
      <w:r>
        <w:rPr>
          <w:rFonts w:ascii="Times New Roman" w:hAnsi="Times New Roman"/>
          <w:color w:val="000000"/>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color w:val="000000"/>
        </w:rPr>
      </w:pPr>
      <w:r>
        <w:rPr>
          <w:rFonts w:ascii="Times New Roman" w:hAnsi="Times New Roman"/>
          <w:color w:val="000000"/>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200"/>
        <w:jc w:val="both"/>
        <w:rPr>
          <w:color w:val="000000"/>
        </w:rPr>
      </w:pPr>
      <w:r>
        <w:rPr>
          <w:color w:val="000000"/>
        </w:rPr>
      </w:r>
    </w:p>
    <w:sectPr>
      <w:headerReference w:type="default" r:id="rId2"/>
      <w:headerReference w:type="first" r:id="rId3"/>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3</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ListLabel7">
    <w:name w:val="ListLabel 7"/>
    <w:qFormat/>
    <w:rPr>
      <w:rFonts w:ascii="Times New Roman" w:hAnsi="Times New Roman"/>
      <w:color w:val="auto"/>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LibreOffice/6.2.4.2$Windows_X86_64 LibreOffice_project/2412653d852ce75f65fbfa83fb7e7b669a126d64</Application>
  <Pages>5</Pages>
  <Words>1392</Words>
  <Characters>9506</Characters>
  <CharactersWithSpaces>10927</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2019-07-31T10:47:05Z</cp:lastPrinted>
  <dcterms:modified xsi:type="dcterms:W3CDTF">2019-11-25T16:45:43Z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